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40"/>
      </w:pPr>
    </w:p>
    <w:p>
      <w:pPr>
        <w:jc w:val="center"/>
      </w:pPr>
      <w:r>
        <w:rPr>
          <w:rFonts w:ascii="DFKai-SB" w:hAnsi="DFKai-SB" w:eastAsia="DFKai-SB" w:cs="DFKai-SB"/>
          <w:b/>
          <w:color w:val="D97706"/>
          <w:sz w:val="19"/>
        </w:rPr>
        <w:t>INTERNAL OPERATIONS MANUAL</w:t>
      </w:r>
    </w:p>
    <w:p>
      <w:pPr>
        <w:spacing w:before="240" w:after="160"/>
        <w:jc w:val="center"/>
      </w:pPr>
      <w:r>
        <w:rPr>
          <w:rFonts w:ascii="DFKai-SB" w:hAnsi="DFKai-SB" w:eastAsia="DFKai-SB" w:cs="DFKai-SB"/>
          <w:b/>
          <w:color w:val="203B43"/>
          <w:sz w:val="58"/>
        </w:rPr>
        <w:t>居家長照工作手冊</w:t>
      </w:r>
    </w:p>
    <w:p>
      <w:pPr>
        <w:spacing w:after="480"/>
        <w:jc w:val="center"/>
      </w:pPr>
      <w:r>
        <w:rPr>
          <w:rFonts w:ascii="DFKai-SB" w:hAnsi="DFKai-SB" w:eastAsia="DFKai-SB" w:cs="DFKai-SB"/>
          <w:b/>
          <w:color w:val="0F6B63"/>
          <w:sz w:val="28"/>
        </w:rPr>
        <w:t>暖暖有限公司附設彰化縣私立暖暖居家長照機構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948"/>
        <w:gridCol w:w="4195"/>
      </w:tblGrid>
      <w:tr>
        <w:trPr>
          <w:tblHeader w:val="true"/>
        </w:trPr>
        <w:tc>
          <w:tcPr>
            <w:tcW w:type="dxa" w:w="238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20"/>
              </w:rPr>
              <w:t>文件版本</w:t>
            </w:r>
          </w:p>
        </w:tc>
        <w:tc>
          <w:tcPr>
            <w:tcW w:type="dxa" w:w="2948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20"/>
              </w:rPr>
              <w:t>生效日期</w:t>
            </w:r>
          </w:p>
        </w:tc>
        <w:tc>
          <w:tcPr>
            <w:tcW w:type="dxa" w:w="4195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20"/>
              </w:rPr>
              <w:t>文件屬性</w:t>
            </w:r>
          </w:p>
        </w:tc>
      </w:tr>
      <w:tr>
        <w:trPr>
          <w:cantSplit/>
        </w:trPr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20"/>
              </w:rPr>
              <w:t>1.0</w:t>
            </w:r>
          </w:p>
        </w:tc>
        <w:tc>
          <w:tcPr>
            <w:tcW w:type="dxa" w:w="294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20"/>
              </w:rPr>
              <w:t>2026-08-13</w:t>
            </w:r>
          </w:p>
        </w:tc>
        <w:tc>
          <w:tcPr>
            <w:tcW w:type="dxa" w:w="4195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20"/>
              </w:rPr>
              <w:t>內部制度文件</w:t>
            </w:r>
          </w:p>
        </w:tc>
      </w:tr>
    </w:tbl>
    <w:p>
      <w:pPr>
        <w:spacing w:after="20"/>
      </w:pPr>
    </w:p>
    <w:p>
      <w:pPr>
        <w:spacing w:after="900"/>
      </w:pPr>
    </w:p>
    <w:p>
      <w:pPr>
        <w:spacing w:after="100"/>
        <w:jc w:val="center"/>
      </w:pPr>
      <w:r>
        <w:rPr>
          <w:rFonts w:ascii="DFKai-SB" w:hAnsi="DFKai-SB" w:eastAsia="DFKai-SB" w:cs="DFKai-SB"/>
          <w:color w:val="243238"/>
          <w:sz w:val="22"/>
        </w:rPr>
        <w:t>核定：____________________</w:t>
      </w:r>
    </w:p>
    <w:p>
      <w:pPr>
        <w:jc w:val="center"/>
      </w:pPr>
      <w:r>
        <w:rPr>
          <w:rFonts w:ascii="DFKai-SB" w:hAnsi="DFKai-SB" w:eastAsia="DFKai-SB" w:cs="DFKai-SB"/>
          <w:color w:val="243238"/>
          <w:sz w:val="22"/>
        </w:rPr>
        <w:t>日期：____________________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文件管制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927"/>
        <w:gridCol w:w="7596"/>
      </w:tblGrid>
      <w:tr>
        <w:trPr>
          <w:tblHeader w:val="true"/>
        </w:trPr>
        <w:tc>
          <w:tcPr>
            <w:tcW w:type="dxa" w:w="1928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欄位</w:t>
            </w:r>
          </w:p>
        </w:tc>
        <w:tc>
          <w:tcPr>
            <w:tcW w:type="dxa" w:w="7597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內容</w:t>
            </w:r>
          </w:p>
        </w:tc>
      </w:tr>
      <w:tr>
        <w:trPr>
          <w:cantSplit/>
        </w:trPr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文件名稱</w:t>
            </w:r>
          </w:p>
        </w:tc>
        <w:tc>
          <w:tcPr>
            <w:tcW w:type="dxa" w:w="75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居家長照工作手冊</w:t>
            </w:r>
          </w:p>
        </w:tc>
      </w:tr>
      <w:tr>
        <w:trPr>
          <w:cantSplit/>
        </w:trPr>
        <w:tc>
          <w:tcPr>
            <w:tcW w:type="dxa" w:w="192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適用機構</w:t>
            </w:r>
          </w:p>
        </w:tc>
        <w:tc>
          <w:tcPr>
            <w:tcW w:type="dxa" w:w="75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暖暖有限公司附設彰化縣私立暖暖居家長照機構</w:t>
            </w:r>
          </w:p>
        </w:tc>
      </w:tr>
      <w:tr>
        <w:trPr>
          <w:cantSplit/>
        </w:trPr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版本</w:t>
            </w:r>
          </w:p>
        </w:tc>
        <w:tc>
          <w:tcPr>
            <w:tcW w:type="dxa" w:w="75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1.0</w:t>
            </w:r>
          </w:p>
        </w:tc>
      </w:tr>
      <w:tr>
        <w:trPr>
          <w:cantSplit/>
        </w:trPr>
        <w:tc>
          <w:tcPr>
            <w:tcW w:type="dxa" w:w="192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生效日</w:t>
            </w:r>
          </w:p>
        </w:tc>
        <w:tc>
          <w:tcPr>
            <w:tcW w:type="dxa" w:w="75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2026-08-13</w:t>
            </w:r>
          </w:p>
        </w:tc>
      </w:tr>
      <w:tr>
        <w:trPr>
          <w:cantSplit/>
        </w:trPr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文件權責</w:t>
            </w:r>
          </w:p>
        </w:tc>
        <w:tc>
          <w:tcPr>
            <w:tcW w:type="dxa" w:w="75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業務負責人維護；機構負責人或授權核准者核定</w:t>
            </w:r>
          </w:p>
        </w:tc>
      </w:tr>
      <w:tr>
        <w:trPr>
          <w:cantSplit/>
        </w:trPr>
        <w:tc>
          <w:tcPr>
            <w:tcW w:type="dxa" w:w="192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保管方式</w:t>
            </w:r>
          </w:p>
        </w:tc>
        <w:tc>
          <w:tcPr>
            <w:tcW w:type="dxa" w:w="75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管理系統保存現行版與修訂紀錄；紙本置於機構可即時取用處</w:t>
            </w:r>
          </w:p>
        </w:tc>
      </w:tr>
      <w:tr>
        <w:trPr>
          <w:cantSplit/>
        </w:trPr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  <w:t>檢視頻率</w:t>
            </w:r>
          </w:p>
        </w:tc>
        <w:tc>
          <w:tcPr>
            <w:tcW w:type="dxa" w:w="75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  <w:t>至少每年一次；法規、主管機關要求、重大事件或流程變更時立即檢視</w:t>
            </w:r>
          </w:p>
        </w:tc>
      </w:tr>
    </w:tbl>
    <w:p>
      <w:pPr>
        <w:spacing w:after="20"/>
      </w:pP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c>
          <w:tcPr>
            <w:tcW w:type="dxa" w:w="9524"/>
            <w:shd w:fill="FFF4E5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color="D97706"/>
            </w:tcBorders>
          </w:tcPr>
          <w:p>
            <w:pPr>
              <w:spacing w:after="0"/>
            </w:pPr>
            <w:r>
              <w:rPr>
                <w:rFonts w:ascii="DFKai-SB" w:hAnsi="DFKai-SB" w:eastAsia="DFKai-SB" w:cs="DFKai-SB"/>
                <w:b/>
                <w:color w:val="D97706"/>
                <w:sz w:val="21"/>
              </w:rPr>
              <w:t xml:space="preserve">使用原則  </w:t>
            </w:r>
            <w:r>
              <w:rPr>
                <w:rFonts w:ascii="DFKai-SB" w:hAnsi="DFKai-SB" w:eastAsia="DFKai-SB" w:cs="DFKai-SB"/>
                <w:color w:val="243238"/>
                <w:sz w:val="20"/>
              </w:rPr>
              <w:t>工作手冊不是只供評鑑查閱。制度內容必須能由工作人員說明並在排班、服務、紀錄、通報及督導中實際執行；遇到制度與實務不一致時，應記錄缺口並修訂。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DFKai-SB" w:hAnsi="DFKai-SB" w:eastAsia="DFKai-SB" w:cs="DFKai-SB"/>
        </w:rPr>
        <w:t>核定與修訂紀錄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737"/>
        <w:gridCol w:w="1247"/>
        <w:gridCol w:w="1247"/>
        <w:gridCol w:w="2891"/>
        <w:gridCol w:w="1133"/>
        <w:gridCol w:w="1133"/>
        <w:gridCol w:w="1133"/>
      </w:tblGrid>
      <w:tr>
        <w:trPr>
          <w:tblHeader w:val="true"/>
        </w:trPr>
        <w:tc>
          <w:tcPr>
            <w:tcW w:type="dxa" w:w="737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版本</w:t>
            </w:r>
          </w:p>
        </w:tc>
        <w:tc>
          <w:tcPr>
            <w:tcW w:type="dxa" w:w="1247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修訂日期</w:t>
            </w:r>
          </w:p>
        </w:tc>
        <w:tc>
          <w:tcPr>
            <w:tcW w:type="dxa" w:w="1247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修訂類型</w:t>
            </w:r>
          </w:p>
        </w:tc>
        <w:tc>
          <w:tcPr>
            <w:tcW w:type="dxa" w:w="289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修訂摘要</w:t>
            </w:r>
          </w:p>
        </w:tc>
        <w:tc>
          <w:tcPr>
            <w:tcW w:type="dxa" w:w="113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修訂人</w:t>
            </w:r>
          </w:p>
        </w:tc>
        <w:tc>
          <w:tcPr>
            <w:tcW w:type="dxa" w:w="113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核准人</w:t>
            </w:r>
          </w:p>
        </w:tc>
        <w:tc>
          <w:tcPr>
            <w:tcW w:type="dxa" w:w="113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7"/>
              </w:rPr>
              <w:t>生效日</w:t>
            </w:r>
          </w:p>
        </w:tc>
      </w:tr>
      <w:tr>
        <w:trPr>
          <w:cantSplit/>
        </w:trPr>
        <w:tc>
          <w:tcPr>
            <w:tcW w:type="dxa" w:w="7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7"/>
              </w:rPr>
              <w:t>1.0</w:t>
            </w:r>
          </w:p>
        </w:tc>
        <w:tc>
          <w:tcPr>
            <w:tcW w:type="dxa" w:w="124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  <w:t>2026-08-13</w:t>
            </w:r>
          </w:p>
        </w:tc>
        <w:tc>
          <w:tcPr>
            <w:tcW w:type="dxa" w:w="124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  <w:t>初版建立</w:t>
            </w:r>
          </w:p>
        </w:tc>
        <w:tc>
          <w:tcPr>
            <w:tcW w:type="dxa" w:w="289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  <w:t>建立完整工作手冊及 115 年度評鑑 A2 對照架構</w:t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  <w:t>2026-08-13</w:t>
            </w:r>
          </w:p>
        </w:tc>
      </w:tr>
      <w:tr>
        <w:trPr>
          <w:cantSplit/>
        </w:trPr>
        <w:tc>
          <w:tcPr>
            <w:tcW w:type="dxa" w:w="7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7"/>
              </w:rPr>
            </w:r>
          </w:p>
        </w:tc>
        <w:tc>
          <w:tcPr>
            <w:tcW w:type="dxa" w:w="124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24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289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</w:tr>
      <w:tr>
        <w:trPr>
          <w:cantSplit/>
        </w:trPr>
        <w:tc>
          <w:tcPr>
            <w:tcW w:type="dxa" w:w="7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7"/>
              </w:rPr>
            </w:r>
          </w:p>
        </w:tc>
        <w:tc>
          <w:tcPr>
            <w:tcW w:type="dxa" w:w="124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24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289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7"/>
              </w:rPr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DFKai-SB" w:hAnsi="DFKai-SB" w:eastAsia="DFKai-SB" w:cs="DFKai-SB"/>
        </w:rPr>
        <w:t>閱讀導引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總則｜</w:t>
      </w:r>
      <w:r>
        <w:rPr>
          <w:rFonts w:ascii="DFKai-SB" w:hAnsi="DFKai-SB" w:eastAsia="DFKai-SB" w:cs="DFKai-SB"/>
          <w:color w:val="243238"/>
          <w:sz w:val="20"/>
        </w:rPr>
        <w:t>手冊目的、適用對象、機構服務宗旨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組織與人員｜</w:t>
      </w:r>
      <w:r>
        <w:rPr>
          <w:rFonts w:ascii="DFKai-SB" w:hAnsi="DFKai-SB" w:eastAsia="DFKai-SB" w:cs="DFKai-SB"/>
          <w:color w:val="243238"/>
          <w:sz w:val="20"/>
        </w:rPr>
        <w:t>組織架構、各職務職掌、工作說明書、職務代理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人事與出勤｜</w:t>
      </w:r>
      <w:r>
        <w:rPr>
          <w:rFonts w:ascii="DFKai-SB" w:hAnsi="DFKai-SB" w:eastAsia="DFKai-SB" w:cs="DFKai-SB"/>
          <w:color w:val="243238"/>
          <w:sz w:val="20"/>
        </w:rPr>
        <w:t>到職與離職、出勤管理、請假管理、排班、調班與代班、教育訓練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居家服務工作規範｜</w:t>
      </w:r>
      <w:r>
        <w:rPr>
          <w:rFonts w:ascii="DFKai-SB" w:hAnsi="DFKai-SB" w:eastAsia="DFKai-SB" w:cs="DFKai-SB"/>
          <w:color w:val="243238"/>
          <w:sz w:val="20"/>
        </w:rPr>
        <w:t>接案與排班、到宅服務、打卡、服務紀錄、不得私自變更服務、不得收受不當財物、個案臨時取消與未遇、服務異動通報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服務品質與安全｜</w:t>
      </w:r>
      <w:r>
        <w:rPr>
          <w:rFonts w:ascii="DFKai-SB" w:hAnsi="DFKai-SB" w:eastAsia="DFKai-SB" w:cs="DFKai-SB"/>
          <w:color w:val="243238"/>
          <w:sz w:val="20"/>
        </w:rPr>
        <w:t>個案權益、個資保密、感染管制、緊急事件、異常事件、申訴處理、職業安全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員工管理｜</w:t>
      </w:r>
      <w:r>
        <w:rPr>
          <w:rFonts w:ascii="DFKai-SB" w:hAnsi="DFKai-SB" w:eastAsia="DFKai-SB" w:cs="DFKai-SB"/>
          <w:color w:val="243238"/>
          <w:sz w:val="20"/>
        </w:rPr>
        <w:t>督導制度、考核制度、獎懲制度、性騷擾防治、工作倫理</w:t>
      </w:r>
    </w:p>
    <w:p>
      <w:pPr>
        <w:spacing w:after="60"/>
      </w:pPr>
      <w:r>
        <w:rPr>
          <w:rFonts w:ascii="DFKai-SB" w:hAnsi="DFKai-SB" w:eastAsia="DFKai-SB" w:cs="DFKai-SB"/>
          <w:b/>
          <w:color w:val="0F6B63"/>
          <w:sz w:val="20"/>
        </w:rPr>
        <w:t>附則｜</w:t>
      </w:r>
      <w:r>
        <w:rPr>
          <w:rFonts w:ascii="DFKai-SB" w:hAnsi="DFKai-SB" w:eastAsia="DFKai-SB" w:cs="DFKai-SB"/>
          <w:color w:val="243238"/>
          <w:sz w:val="20"/>
        </w:rPr>
        <w:t>手冊修訂、公告及實施日期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工作手冊本文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c>
          <w:tcPr>
            <w:tcW w:type="dxa" w:w="9524"/>
            <w:shd w:fill="E7F3F1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color="0F6B63"/>
            </w:tcBorders>
          </w:tcPr>
          <w:p>
            <w:pPr>
              <w:spacing w:after="0"/>
            </w:pPr>
            <w:r>
              <w:rPr>
                <w:rFonts w:ascii="DFKai-SB" w:hAnsi="DFKai-SB" w:eastAsia="DFKai-SB" w:cs="DFKai-SB"/>
                <w:b/>
                <w:color w:val="0F6B63"/>
                <w:sz w:val="21"/>
              </w:rPr>
              <w:t xml:space="preserve">五段式結構  </w:t>
            </w:r>
            <w:r>
              <w:rPr>
                <w:rFonts w:ascii="DFKai-SB" w:hAnsi="DFKai-SB" w:eastAsia="DFKai-SB" w:cs="DFKai-SB"/>
                <w:color w:val="243238"/>
                <w:sz w:val="20"/>
              </w:rPr>
              <w:t>每一節均依「目的、作業規範、權責、應留存紀錄、檢討與改善」編排，對應評鑑要求的制度、執行、紀錄與改善追蹤。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rPr>
          <w:rFonts w:ascii="DFKai-SB" w:hAnsi="DFKai-SB" w:eastAsia="DFKai-SB" w:cs="DFKai-SB"/>
        </w:rPr>
        <w:t>第一章 總則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1.1 手冊目的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建立一致、可追蹤且符合法令與評鑑要求的工作準則，確保服務品質、個案安全及工作人員權益。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本手冊為機構共通工作規範；各專業表單、作業流程及職務說明均視為手冊附件。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遇法令、主管機關函釋或契約規範更新時，優先依最新規定辦理並啟動修訂。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制度是否落實，以實際執行、紀錄、訪談及後續改善相互驗證。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業務負責人核定、解釋及督導本手冊。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各職務人員依職掌執行，發現不合用或風險時主動提出修訂建議。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工作手冊正本與電子檔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修訂對照表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教育宣導及員工簽收紀錄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每年至少檢視一次，並於重大事件、法規變動或稽核缺失後立即檢討。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修訂後確認人員已知悉並抽查實際執行情形。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1.2 適用對象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明確界定應遵循本手冊的人員與工作情境。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適用於機構負責人、業務負責人、居家服務督導員、照顧服務員、行政人員、兼職及報請支援人員。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受託或臨時執行機構業務者，於其工作範圍內亦應遵守保密、安全及服務規範。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在機構、個案家中、交通移動、遠距聯繫及使用資訊系統時均適用。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管理者於到職、派案或委任前說明適用範圍。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工作人員應於不確定時向直屬主管確認，不得自行解讀規避。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人員名冊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聘僱或支援報備文件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手冊簽收與保密承諾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定期核對在職、離職、支援及系統帳號清單，避免未授權存取。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1.3 機構服務宗旨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將以人為本、尊重自主、安全及連續照顧落實於每次服務。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尊重個案尊嚴、文化、隱私、偏好及選擇權。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依核定照顧計畫提供安全、適切且可追蹤的居家服務。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與個案、家屬、照管單位及跨專業團隊保持合作，促進在地安老與照顧者支持。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以資料與回饋持續改善服務，不隱匿錯誤或異常。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全體人員共同實踐；主管透過督導、查核與會議確認。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年度業務計畫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服務品質查核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滿意度與申訴紀錄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改善追蹤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於年度計畫及管理審查時檢視宗旨是否反映於指標與實務。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第二章 組織與人員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2.1 組織架構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建立清楚的指揮、通報、代理與協作關係。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最高治理由機構負責人統籌；日常長照業務由業務負責人管理。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居家服務督導員負責個案服務與居服員督導；行政人員支援文件、財務與資料管理；居服員依計畫提供服務。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組織異動須同步更新組織圖、職掌、代理及系統權限。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機構負責人核定組織與人力。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業務負責人維護組織圖並確認實際運作一致。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組織圖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人員名冊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職務及代理表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權限清冊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每季或人員異動時檢核人力比、資格、登錄及代理安排。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2.2 各職務職掌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避免責任不清、工作遺漏或越權處理。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機構負責人：統籌經營、財務、人力配置及依法運作。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業務負責人：負責長照業務、品質、人員、教育訓練、申訴與異常事件。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居服督導員：負責評估、照顧計畫、派案、訪視、督導、品質監測與異常處理。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行政人員：辦理庶務、文件、資料建檔、通知及授權範圍內的帳務。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居服員：依計畫到宅服務、打卡、填寫紀錄、觀察與回報。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各職務本人負責執行；直屬主管負責指導及覆核。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職務說明書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工作分派與代理紀錄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督導及考核紀錄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由會議、稽核及異常事件辨識職掌重疊或缺口並修正。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2.3 工作說明書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將職務資格、目的、責任、權限、工作內容與績效標準具體化。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每一職務均應有工作說明書，包含任用資格、主要職責、工作關係、代理、必要訓練與考核。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工作說明書不得取代完整工作手冊，而是本手冊之組織與人員附件。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派任前說明並由員工確認；職務變更時重新確認。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業務負責人擬訂，機構負責人核定。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員工依說明書執行並接受考核。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各職務工作說明書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員工確認紀錄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職務異動及教育紀錄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至少年度檢視一次，並依工作量、風險、法規及評鑑結果調整。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2.4 職務代理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確保休假、離職、突發事件或人力不足時服務與管理不中斷。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重要職務均指定主要及次要代理人，代理人須具備相應資格或在授權範圍內執行。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代理期間明確交接待辦、風險個案、聯繫窗口、文件與系統權限。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涉及專業判斷、財務核准或個資存取時不得逾越授權。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請假或離任者完成交接；主管確認代理適任及權限。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職務代理表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交接清冊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臨時授權與權限回收紀錄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代理結束後檢討遺漏與延誤，更新交接清單。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第三章 人事與出勤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3.1 到職與離職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確保任用資格、登錄、訓練、權限與離職交接完整。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到職前查驗身分、資格、證照、健康檢查及必要文件，依法辦理聘僱、投保、登錄或支援報備。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到職時完成職務說明、保密、工作手冊、資訊安全及職前訓練安排。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離職時完成服務、人員、文件、物品、帳務與風險個案交接，停用系統及收回權限。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離職不得影響已排服務，主管須安排替代人力及通知相關對象。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行政人員建檔；業務負責人查驗及派任；本人完成資料與交接。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人事基本資料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聘僱契約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資格與登錄文件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到離職清單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權限開通與停用紀錄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每月比對人事、排班、投保、登錄及系統帳號，處理不一致。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3.2 出勤管理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確保工時、排班、打卡、薪資及服務紀錄一致。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依核定班表及機構規定出勤，按規定完成上下班或到離班打卡。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不得代打卡、補造定位或任意調整服務時間；異常須即時回報並申請更正。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主管定期比對排班、GPS 打卡、服務紀錄與工時，確認每週工時及休息。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遲到、早退、缺勤或系統異常依規定處理並保留說明。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員工據實打卡；居督每日或定期監測；行政依核准資料結算。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班表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打卡紀錄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異常與補登紀錄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工時月報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薪資計算表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分析重複異常、未到班與超時，採取排班調整、輔導或系統修正。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3.3 請假管理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兼顧員工法定權益、服務不中斷與排班透明。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依假別及規定期限提出申請；緊急情況先通知主管後補件。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未經核准不得自行請他人代班或直接通知個案取消。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主管評估服務風險、代班資格及工時後核准並完成通知。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病假、職災或法定假別依相關法令與機構制度辦理。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申請人提出；居督安排代班；主管核准；行政留存及結算。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請假申請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證明文件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代班安排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個案通知與班表異動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定期分析請假與代班頻率，改善人力備援及排班風險。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3.4 排班、調班與代班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依個案需求與人員條件安排安全、連續且合規的服務。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派案考量服務計畫、人員資格、熟悉度、地區、交通、工時與個案偏好。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調班或代班須由機構確認，不得私下交換；必要時取得個案或家屬同意。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同步更新班表、通知、服務紀錄與相關系統，避免版本不一致。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暫停、終止或更換人員時評估服務不中斷措施。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居督負責安排與通知；居服員回覆可服務性；個案或家屬確認重要變更。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派案與班表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調班代班申請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通知紀錄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異常與改善紀錄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每月檢視空班、臨時代班、超時與個案抱怨，調整人力配置。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3.5 教育訓練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確保人員具備符合職務、個案風險、證照與評鑑要求的知能。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新進人員到職後一個月內完成至少十六小時職前訓練，其中職業安全衛生至少三小時、感染控制至少四小時，並含緊急事件及服務實作。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依職務及服務需求規劃年度在職訓練、繼續教育、急救與特殊訓練。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證書、急救效期及積分設到期提醒，缺課或未通過考核須補訓。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訓練後以測驗、實作、回饋或督導確認成效。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業務負責人核定計畫；居督執行與追蹤；員工按時參訓。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訓練計畫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課程表與教材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簽到、照片、測驗與成效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證書與積分紀錄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補訓追蹤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依服務異常、考核、申訴及評鑑缺口調整次年度課程。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第四章 居家服務工作規範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4.1 接案與排班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使收案、評估、照顧計畫、契約、派案及首次服務按時且一致完成。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確認服務核定、身分、聯絡、風險、需求及可服務性後辦理收案。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由機構完成整體需求評估，原則上於收案後七個工作天內完成照顧計畫。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契約、照顧計畫、服務碼別、頻率與收費須一致後始排班。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首次服務前向居服員完成個案重點、風險、服務內容及通報方式交班。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居督主責評估、契約、計畫及派案；行政建檔；居服員確認交班。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收案與評估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服務契約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照顧計畫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派案與班表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首次服務交班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追蹤收案時效、首次服務及文件缺漏，納入品質會議改善。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4.2 到宅服務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確保服務依計畫、安全、尊重且專業執行。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到宅前確認班表、地址、服務內容與注意事項；到達後表明身分並取得同意。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依核定服務提供，不執行超出資格、計畫或風險不可控的工作。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尊重住家與個人物品，維持界線，不評論家庭、不介入財務或爭議。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觀察個案狀況與環境風險，必要時立即採取安全措施並回報。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服務結束確認個案安全、環境及必要交班事項。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居服員執行與觀察；居督提供指導並處理異常。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打卡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異常或需求變化通報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家屬聯繫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透過到班抽查、家訪電訪、服務紀錄與申訴進行改善。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4.3 打卡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如實證明到離班時間、位置與服務執行情形。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依實際到達與離開時間本人操作，不得預先、延後、代打或共用帳號。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定位、裝置或網路異常時立即通知主管，依補登流程提供原因與佐證。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彈性規則只處理合理到離班範圍，不得用以掩蓋遲到、早退或未服務。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主管定期檢視距離、時間與排班異常，必要時聯繫個案確認。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居服員正確操作；居督審核異常；系統管理者維護安全及權限。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GPS 打卡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異常補登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審核與更正軌跡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抽查結果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分析常見定位、設備及操作問題，提供教育或系統改善。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4.4 服務紀錄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完整呈現實際服務內容、個案狀況與後續需求。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於服務當日據實完成，內容與照顧計畫、排班、碼別、時間及個案狀況一致。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以客觀、尊重、可追蹤的文字記載，不使用標籤、猜測或不必要個資。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特殊狀況、拒絕服務、需求改變或風險須具體記載並通報。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照片僅於必要且已取得授權時上傳，依私密權限管理，不得存於私人裝置或社群。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不得事後大量補寫或複製相同內容掩蓋實際差異。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居服員填寫；居督審閱、回饋與追蹤；管理者控管權限。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服務照片與辨識結果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修改軌跡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督導查核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抽查完整性及與打卡、排班的一致性，錯誤須更正並教育。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4.5 不得私自變更服務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確保服務依核定計畫與專業評估執行。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不得自行增加、刪減、交換服務項目、時間、頻率或收費。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個案臨時要求變更時，先說明需由機構確認並即時通知居督。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涉及安全急迫需求時先處置安全，再依規定通報、紀錄及後續修訂計畫。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核定服務異動完成前，依主管指示執行。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居服員不擅自承諾；居督評估及協調照管或家屬；主管核定內部變更。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異動需求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聯繫與核定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附約或異動單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班表及計畫修訂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分析常見臨時需求，改善說明、評估及核定流程。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4.6 不得收受不當財物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維持專業界線，避免利益衝突、剝削或爭議。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不得向個案或家屬借貸、推銷、收受回扣、代管帳戶、私下收費或接受顯不相當之餽贈。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代購、代領或代送須在核定服務及授權範圍內，憑據、找零與紀錄完整。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遇餽贈或財務請託時婉拒並通知主管；無法立即退回者交由機構處理。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不得利用所知個資招攬或建立未經機構同意的私下服務。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全體人員遵守；主管負責諮詢、調查及處置。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代購憑據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餽贈或利益衝突通報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調查與處理紀錄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於督導與倫理訓練檢討案例，必要時修訂金額或處理原則。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4.7 個案臨時取消與未遇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妥善處理臨時取消、無人應門或無法聯繫，兼顧安全與人員工時。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個案取消時記錄通知時間、原因及通知人，依契約與主管指示處理班表及收費。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到場未遇先以約定方式聯繫個案、家屬與居督，不得擅自進入住家。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高風險個案無法聯繫時依緊急聯絡及必要通報流程處理。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不得虛報已服務或完成打卡；系統紀錄須反映實況。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居服員即時回報；居督評估風險、聯繫與改派；行政調整資料。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取消或未遇紀錄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聯繫與處置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班表及打卡異常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必要通報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檢視重複取消與未遇，與個案協調時間或修訂服務安排。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4.8 服務異動通報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及時反映需求、風險、住院、暫停、轉介或終止等變化。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發現身心狀況、照顧能力、環境、服務需求或聯絡方式改變時立即回報。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居督評估影響，聯繫個案、家屬及相關單位，必要時修訂照顧計畫、契約或班表。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住院、暫停、拒絕、轉介、終止或死亡依規定完成通報與結案。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重大或疑似危害不得僅於群組留言，須以正式紀錄及指定窗口處理。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第一發現者通報；居督評估追蹤；業務負責人處理重大事件。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異動通報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聯繫紀錄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計畫與班表修訂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暫停、轉介或結案紀錄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追蹤通報至完成，並分析延誤、漏報與重複事件。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第五章 服務品質與安全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5.1 個案權益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保障知情、選擇、隱私、尊嚴、安全、申訴及公平服務。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以可理解方式說明契約、服務內容、時間、費用、異動及申訴管道。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尊重個案自主與文化，未經同意不得拍攝、揭露或強迫服務。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服務異動、替代人力或重要處置儘量事先告知並取得同意。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不得因身分、疾病、經濟、族群、性別或申訴而差別待遇或報復。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全體人員維護；居督處理權益疑義；主管監督契約與申訴。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服務契約與同意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權益說明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服務異動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申訴與處理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以滿意度、申訴與訪視結果檢視權益風險並改善。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5.2 個資保密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保護個案、家屬、員工及業務資料，避免未授權蒐集、使用、揭露或遺失。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僅於執行職務必要範圍蒐集與使用，不以私人帳號、裝置或群組保存完整敏感資料。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紙本上鎖、電子資料採帳號權限與密鑰隔離，服務端密鑰不得置於前端。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不得查閱與職務無關資料；離席登出，檔案分享維持私人或最小權限。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疑似外洩、誤寄、遺失或異常存取立即通報，不得自行刪除證據。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離職或職務異動即時收回權限，並保留稽核紀錄。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資料使用者遵守；管理者控管權限與稽核；主管處理事件。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個資告知與同意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保密承諾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權限清冊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登入操作紀錄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資安事件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定期檢查帳號、Drive 分享、備份與異常紀錄，修正權限缺口。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5.3 感染管制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降低個案、家屬與工作人員之感染與交叉傳播風險。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依手部衛生、個人防護具、呼吸道衛生、環境清潔、廢棄物及暴露處置規範執行。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服務前評估感染風險，依風險使用口罩、手套等防護用品；不得以同一防護用品跨個案使用。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出現症狀、接觸史、針扎、體液暴露或群聚疑慮時立即停止高風險作業並通報。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依主管機關最新指引調整措施、追蹤健康並安排替代服務。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居服員執行；居督供應、查核與追蹤；主管決策重大風險。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感染管制政策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防護用品領用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教育與查核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暴露或感染事件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健康追蹤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定期查核手部衛生與用品，事件後分析傳播途徑與改善。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5.4 緊急事件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在生命、健康或環境急迫危險時快速、正確且可追蹤地處置。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先確認現場安全與個案狀況，依能力進行急救並撥打一一九或適當緊急服務。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立即通知居督、家屬及必要單位，清楚提供地址、狀況、已採措施與聯絡方式。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不得延誤送醫、擅自給藥或執行超出資格之醫療處置。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事後完成事件、通知、送醫、交接與後續追蹤。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現場人員先處置；居督協調；業務負責人掌握重大事件及對外通報。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緊急事件紀錄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聯繫與送醫資料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交接與後續追蹤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檢討改善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每次重大事件進行原因分析與演練回饋，修正流程及聯絡清冊。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5.5 異常事件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對跌倒、受傷、用藥、失聯、虐待疑慮、財物、服務錯誤等事件完成通報與改善。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第一時間確保安全、保留事實並通知主管，不隱匿、不責怪、不任意對外發言。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依事件類型、嚴重度與主管機關規定完成內部及外部通報。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紀錄事實、時間、人物、處置與結果，區分事實與推論。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完成根因分析、改善措施、負責人、期限及成效追蹤。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發現者通報；居督調查追蹤；業務負責人核定與外部通報。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異常事件通報單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調查附件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原因分析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改善與追蹤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主管機關往來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定期統計類型與再發，於會議檢討並驗證改善有效。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5.6 申訴處理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提供可近、保密、公平且不報復的意見與申訴處理。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提供電話、面談、書面與電子等管道，公告機構及主管機關窗口。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受理後確認訴求、風險與回覆方式，涉及安全者立即處理。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由適當人員調查，避免利益衝突並保護申訴者與被申訴者隱私。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於制度時限內回覆處理結果，若無法如期完成須說明。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不得因申訴降低服務、報復或洩露身分。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受理者立即登錄；主管指定調查；業務負責人核定回覆。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申訴受理與調查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回覆與改善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後續追蹤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年度統計分析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定期分析原因與趨勢，於公開會議檢討並追蹤措施。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5.7 職業安全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預防交通、移位、針扎、感染、暴力、性騷擾及其他職業傷害。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派案前評估環境、個案行為、移位、寵物、交通及傳染風險，提供必要資訊與防護。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工作人員有權在立即危險下先離開並通報，不得被要求單獨承擔不可控風險。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依正確姿勢與輔具執行移位，不勉強搬運超出能力之個案或物品。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事故、近失事件、威脅或傷害立即處置、就醫、通報及依法辦理。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員工辨識與回報；居督評估及調整；主管提供教育、設備與後續。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風險評估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職安教育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事故及近失事件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就醫與職災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改善追蹤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分析事件與高風險派案，改善設備、雙人服務、交通或教育。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第六章 員工管理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6.1 督導制度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支持人員專業、處理服務問題並落實管理決議。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依需要辦理個別督導、團體督導及現場或服務品質查核。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至少每三個月召開行政聯繫會議，討論服務、人力、品質、安全與制度。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督導內容包含問題、分析、建議、決議、責任人與期限，不僅記錄聊天摘要。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保護個資與申訴機密，必要時分級處理。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居督執行；業務負責人督導居督並追蹤重大事項；員工參與改善。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個別與團體督導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行政會議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簽到與附件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決議追蹤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後續督導確認前次事項，逾期須記載原因與新期限。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6.2 考核制度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以公平、透明且與職務相關的方式評估表現並促進改善。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考核指標涵蓋出勤、服務品質、紀錄、安全、倫理、教育及合作。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考核前告知標準，結果與員工面談並提供說明或申復機會。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不得以歧視、申訴或與工作無關因素評分。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未達標者訂定輔導與複評；優良者依制度表揚或獎勵。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直屬主管初評；業務負責人覆核；員工確認及提出意見。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考核表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面談與申復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輔導及複評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獎勵紀錄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分析整體弱項，轉化為訓練、流程或人力改善。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6.3 獎懲制度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以一致規則鼓勵良好表現並處理違規，兼顧比例與程序。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獎勵與懲處事由、程序及核准層級明確並向員工說明。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AA 碼等工作獎勵須有可說明、可追溯且一致的計算與發放規則。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懲處前查明事實、提供陳述機會並考量情節、影響與既往紀錄。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涉及法令、契約或重大安全事件，依規定處理並保留證據。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主管提出與查核；核定者依權限決定；行政執行及保存。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獎勵明細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事實調查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通知與陳述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核定與改善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定期檢視獎勵是否達成目的及懲處是否一致，修正不公平處。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6.4 性騷擾防治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建立尊重、安全、保密且不報復的工作與服務環境。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公告防治政策、申訴管道、處理程序與保護措施。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工作人員對個案、家屬、同事及合作人員均須維持專業界線。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受理後立即評估安全、隔離接觸或調整服務，保護當事人。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調查遵守保密、公正、利益迴避與時限，禁止報復。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依結果提供懲處、輔導、轉介與環境改善。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全體人員預防與通報；指定窗口受理；主管負責保護及調查。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政策與教育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申訴受理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保護與調查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結果通知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追蹤改善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每年至少檢視政策與風險，依事件改善派案、空間或管理措施。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6.5 工作倫理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維持誠信、尊重、專業界線與對服務對象最佳利益的承諾。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據實紀錄、不偽造、不冒領、不隱匿錯誤。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不與個案建立不當金錢、感情、宗教、政治或商業關係。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避免利益衝突；有疑慮主動揭露並接受調整。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尊重同事及跨專業意見，不在社群散布個案或內部資訊。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能力不足或超出資格時主動求助，不勉強執行。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全體人員自律；主管提供諮詢、督導與必要處置。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倫理教育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利益衝突揭露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督導諮詢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違規調查與處理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以案例討論建立共同判斷，持續修正模糊情境的指引。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第七章 附則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7.1 手冊修訂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確保手冊內容正確、現行、可追溯且人員已知悉。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修訂原因可來自法規、主管機關、評鑑、事故、申訴、流程或系統變更。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修訂須標示文件、版本、修訂日期、摘要、修訂人、核准人及生效日。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保留舊版並標示失效，避免現場誤用；電子與紙本同步更新。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重大修訂應辦理教育或測驗，確認相關人員理解。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業務負責人彙整；文件權責人修訂；機構負責人或授權者核定。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修訂申請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修訂對照表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核定與公告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舊版封存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教育簽收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年度文件盤點確認版本、適用性、附件連結及員工熟悉度。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7.2 公告及實施日期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目的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明確規範手冊何時生效、如何公告及過渡處理。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作業規範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本版為第 1.0 版，自 2026-08-13 起施行。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公告可採管理系統、會議、教育、電子通知或紙本，須確保應知悉人員可取得。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新舊規定衝突時，以已核定且生效的新版本為準；法令另有強制規定者從其規定。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未盡事項由業務負責人依現行法令及主管機關規定解釋，並於必要時提案修訂。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權責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機構負責人核定；業務負責人公告及追蹤簽收。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應留存紀錄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核定頁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公告與簽收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教育紀錄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失效版本清冊</w:t>
      </w:r>
    </w:p>
    <w:p>
      <w:pPr>
        <w:spacing w:before="60" w:after="40"/>
        <w:keepNext/>
      </w:pPr>
      <w:r>
        <w:rPr>
          <w:rFonts w:ascii="DFKai-SB" w:hAnsi="DFKai-SB" w:eastAsia="DFKai-SB" w:cs="DFKai-SB"/>
          <w:b/>
          <w:color w:val="0F6B63"/>
          <w:sz w:val="21"/>
        </w:rPr>
        <w:t>檢討與改善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抽查員工是否取得最新版，改善公告與版本控制。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附錄一｜組織、職務與代理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組織關係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020"/>
        <w:gridCol w:w="1700"/>
        <w:gridCol w:w="3968"/>
        <w:gridCol w:w="2834"/>
      </w:tblGrid>
      <w:tr>
        <w:trPr>
          <w:tblHeader w:val="true"/>
        </w:trPr>
        <w:tc>
          <w:tcPr>
            <w:tcW w:type="dxa" w:w="1020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層級</w:t>
            </w:r>
          </w:p>
        </w:tc>
        <w:tc>
          <w:tcPr>
            <w:tcW w:type="dxa" w:w="170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角色</w:t>
            </w:r>
          </w:p>
        </w:tc>
        <w:tc>
          <w:tcPr>
            <w:tcW w:type="dxa" w:w="3969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核心責任</w:t>
            </w:r>
          </w:p>
        </w:tc>
        <w:tc>
          <w:tcPr>
            <w:tcW w:type="dxa" w:w="2835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主要協作</w:t>
            </w:r>
          </w:p>
        </w:tc>
      </w:tr>
      <w:tr>
        <w:trPr>
          <w:cantSplit/>
        </w:trPr>
        <w:tc>
          <w:tcPr>
            <w:tcW w:type="dxa" w:w="102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治理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機構負責人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經營、財務、人力、依法運作與核定</w:t>
            </w:r>
          </w:p>
        </w:tc>
        <w:tc>
          <w:tcPr>
            <w:tcW w:type="dxa" w:w="283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業務負責人</w:t>
            </w:r>
          </w:p>
        </w:tc>
      </w:tr>
      <w:tr>
        <w:trPr>
          <w:cantSplit/>
        </w:trPr>
        <w:tc>
          <w:tcPr>
            <w:tcW w:type="dxa" w:w="102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管理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業務負責人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長照業務、品質、人員、教育、申訴及異常</w:t>
            </w:r>
          </w:p>
        </w:tc>
        <w:tc>
          <w:tcPr>
            <w:tcW w:type="dxa" w:w="283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機構負責人、居督、行政</w:t>
            </w:r>
          </w:p>
        </w:tc>
      </w:tr>
      <w:tr>
        <w:trPr>
          <w:cantSplit/>
        </w:trPr>
        <w:tc>
          <w:tcPr>
            <w:tcW w:type="dxa" w:w="102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專業督導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居家服務督導員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評估、計畫、派案、訪視、督導與品質</w:t>
            </w:r>
          </w:p>
        </w:tc>
        <w:tc>
          <w:tcPr>
            <w:tcW w:type="dxa" w:w="283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居服員、個案家屬、照管單位</w:t>
            </w:r>
          </w:p>
        </w:tc>
      </w:tr>
      <w:tr>
        <w:trPr>
          <w:cantSplit/>
        </w:trPr>
        <w:tc>
          <w:tcPr>
            <w:tcW w:type="dxa" w:w="102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行政支援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行政人員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文件、資料、通知、庶務及授權帳務</w:t>
            </w:r>
          </w:p>
        </w:tc>
        <w:tc>
          <w:tcPr>
            <w:tcW w:type="dxa" w:w="283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各職務</w:t>
            </w:r>
          </w:p>
        </w:tc>
      </w:tr>
      <w:tr>
        <w:trPr>
          <w:cantSplit/>
        </w:trPr>
        <w:tc>
          <w:tcPr>
            <w:tcW w:type="dxa" w:w="102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第一線服務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居服員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依計畫服務、打卡、紀錄、觀察與通報</w:t>
            </w:r>
          </w:p>
        </w:tc>
        <w:tc>
          <w:tcPr>
            <w:tcW w:type="dxa" w:w="283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居督、個案家屬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DFKai-SB" w:hAnsi="DFKai-SB" w:eastAsia="DFKai-SB" w:cs="DFKai-SB"/>
        </w:rPr>
        <w:t>職務代理原則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機構負責人不在時，由依法及公司治理授權之人員處理；長照專業業務仍由具資格者負責。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業務負責人不在時，由具適任資格且已指定之人員代理日常聯繫；重大決策依授權層級核定。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居督不在時，由其他居督或業務負責人承接個案、派案、異常與督導事項。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居服員請假或無法出勤時，僅由機構安排具資格且已完成必要交班之代班人員。</w:t>
      </w:r>
    </w:p>
    <w:p>
      <w:pPr>
        <w:pStyle w:val="ListBullet"/>
        <w:spacing w:after="50" w:line="288" w:lineRule="auto"/>
      </w:pPr>
      <w:r>
        <w:rPr>
          <w:rFonts w:ascii="DFKai-SB" w:hAnsi="DFKai-SB" w:eastAsia="DFKai-SB" w:cs="DFKai-SB"/>
          <w:color w:val="243238"/>
          <w:sz w:val="20"/>
        </w:rPr>
        <w:t>代理開始與結束均需完成交接、權限調整及待辦確認。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附錄二｜重要作業流程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新案收案與首次服務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取得核定與基本資料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機構整體需求評估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完成契約與照顧計畫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依資格與風險派案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首次服務交班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打卡與服務紀錄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居督追蹤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調班與代班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收到異動需求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確認原因與時間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評估替代人力及工時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通知個案或家屬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更新班表與系統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完成代班交班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追蹤服務結果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緊急事件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確認現場安全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必要急救或一一九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通知居督與家屬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完成交接或送醫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正式通報及紀錄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原因分析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改善追蹤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異常事件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立即安全處置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保留事實與證據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內部通報與分級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依規定外部通報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調查原因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改善措施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驗證成效與結案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申訴處理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多元管道受理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確認訴求與風險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指定無利益衝突人員調查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提出處理方案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正式回覆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後續追蹤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統計分析與改善</w:t>
      </w:r>
    </w:p>
    <w:p>
      <w:pPr>
        <w:pStyle w:val="Heading2"/>
        <w:keepNext/>
      </w:pPr>
      <w:r>
        <w:rPr>
          <w:rFonts w:ascii="DFKai-SB" w:hAnsi="DFKai-SB" w:eastAsia="DFKai-SB" w:cs="DFKai-SB"/>
        </w:rPr>
        <w:t>離職與權限回收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提出或確認離職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服務與文件交接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安排替代人力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收回物品與帳號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停用系統權限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核對資料與帳務</w:t>
      </w:r>
    </w:p>
    <w:p>
      <w:pPr>
        <w:pStyle w:val="ListNumber"/>
        <w:spacing w:after="60" w:line="288" w:lineRule="auto"/>
      </w:pPr>
      <w:r>
        <w:rPr>
          <w:rFonts w:ascii="DFKai-SB" w:hAnsi="DFKai-SB" w:eastAsia="DFKai-SB" w:cs="DFKai-SB"/>
          <w:color w:val="243238"/>
          <w:sz w:val="20"/>
        </w:rPr>
        <w:t>完成離職存檔</w:t>
      </w: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附錄三｜應留存紀錄總表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757"/>
        <w:gridCol w:w="4988"/>
        <w:gridCol w:w="2777"/>
      </w:tblGrid>
      <w:tr>
        <w:trPr>
          <w:tblHeader w:val="true"/>
        </w:trPr>
        <w:tc>
          <w:tcPr>
            <w:tcW w:type="dxa" w:w="1757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類別</w:t>
            </w:r>
          </w:p>
        </w:tc>
        <w:tc>
          <w:tcPr>
            <w:tcW w:type="dxa" w:w="4989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必要紀錄</w:t>
            </w:r>
          </w:p>
        </w:tc>
        <w:tc>
          <w:tcPr>
            <w:tcW w:type="dxa" w:w="2778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查閱與管制重點</w:t>
            </w:r>
          </w:p>
        </w:tc>
      </w:tr>
      <w:tr>
        <w:trPr>
          <w:cantSplit/>
        </w:trPr>
        <w:tc>
          <w:tcPr>
            <w:tcW w:type="dxa" w:w="175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治理與制度</w:t>
            </w:r>
          </w:p>
        </w:tc>
        <w:tc>
          <w:tcPr>
            <w:tcW w:type="dxa" w:w="498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年度計畫、組織、工作手冊、版本修訂、公告簽收</w:t>
            </w:r>
          </w:p>
        </w:tc>
        <w:tc>
          <w:tcPr>
            <w:tcW w:type="dxa" w:w="277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現行版可即時查閱；舊版封存</w:t>
            </w:r>
          </w:p>
        </w:tc>
      </w:tr>
      <w:tr>
        <w:trPr>
          <w:cantSplit/>
        </w:trPr>
        <w:tc>
          <w:tcPr>
            <w:tcW w:type="dxa" w:w="175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人事</w:t>
            </w:r>
          </w:p>
        </w:tc>
        <w:tc>
          <w:tcPr>
            <w:tcW w:type="dxa" w:w="498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聘僱、資格、登錄、支援報備、投保、健檢、到離職、權限</w:t>
            </w:r>
          </w:p>
        </w:tc>
        <w:tc>
          <w:tcPr>
            <w:tcW w:type="dxa" w:w="277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依保存年限及個資權限管理</w:t>
            </w:r>
          </w:p>
        </w:tc>
      </w:tr>
      <w:tr>
        <w:trPr>
          <w:cantSplit/>
        </w:trPr>
        <w:tc>
          <w:tcPr>
            <w:tcW w:type="dxa" w:w="175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教育</w:t>
            </w:r>
          </w:p>
        </w:tc>
        <w:tc>
          <w:tcPr>
            <w:tcW w:type="dxa" w:w="498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職前訓練、在職訓練、積分、急救、測驗、實作、補訓</w:t>
            </w:r>
          </w:p>
        </w:tc>
        <w:tc>
          <w:tcPr>
            <w:tcW w:type="dxa" w:w="277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可依員工與年度查詢</w:t>
            </w:r>
          </w:p>
        </w:tc>
      </w:tr>
      <w:tr>
        <w:trPr>
          <w:cantSplit/>
        </w:trPr>
        <w:tc>
          <w:tcPr>
            <w:tcW w:type="dxa" w:w="175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督導與會議</w:t>
            </w:r>
          </w:p>
        </w:tc>
        <w:tc>
          <w:tcPr>
            <w:tcW w:type="dxa" w:w="498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行政會議、個督、團督、跨專業、決議與追蹤</w:t>
            </w:r>
          </w:p>
        </w:tc>
        <w:tc>
          <w:tcPr>
            <w:tcW w:type="dxa" w:w="277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具簽到、附件、責任與期限</w:t>
            </w:r>
          </w:p>
        </w:tc>
      </w:tr>
      <w:tr>
        <w:trPr>
          <w:cantSplit/>
        </w:trPr>
        <w:tc>
          <w:tcPr>
            <w:tcW w:type="dxa" w:w="175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個案</w:t>
            </w:r>
          </w:p>
        </w:tc>
        <w:tc>
          <w:tcPr>
            <w:tcW w:type="dxa" w:w="498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契約、評估、照顧計畫、排班、服務紀錄、電訪、家訪、評值</w:t>
            </w:r>
          </w:p>
        </w:tc>
        <w:tc>
          <w:tcPr>
            <w:tcW w:type="dxa" w:w="277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可依個案、日期及指標查找</w:t>
            </w:r>
          </w:p>
        </w:tc>
      </w:tr>
      <w:tr>
        <w:trPr>
          <w:cantSplit/>
        </w:trPr>
        <w:tc>
          <w:tcPr>
            <w:tcW w:type="dxa" w:w="175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品質與安全</w:t>
            </w:r>
          </w:p>
        </w:tc>
        <w:tc>
          <w:tcPr>
            <w:tcW w:type="dxa" w:w="498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查勤、抽查、異常、緊急、申訴、滿意度、原因分析、改善</w:t>
            </w:r>
          </w:p>
        </w:tc>
        <w:tc>
          <w:tcPr>
            <w:tcW w:type="dxa" w:w="277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保留處理至結案及成效</w:t>
            </w:r>
          </w:p>
        </w:tc>
      </w:tr>
      <w:tr>
        <w:trPr>
          <w:cantSplit/>
        </w:trPr>
        <w:tc>
          <w:tcPr>
            <w:tcW w:type="dxa" w:w="175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財務</w:t>
            </w:r>
          </w:p>
        </w:tc>
        <w:tc>
          <w:tcPr>
            <w:tcW w:type="dxa" w:w="498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憑證、日記簿、現金簿、分類帳、報表、收據、報稅、銀行對帳</w:t>
            </w:r>
          </w:p>
        </w:tc>
        <w:tc>
          <w:tcPr>
            <w:tcW w:type="dxa" w:w="277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附設機構帳務可獨立辨識</w:t>
            </w:r>
          </w:p>
        </w:tc>
      </w:tr>
      <w:tr>
        <w:trPr>
          <w:cantSplit/>
        </w:trPr>
        <w:tc>
          <w:tcPr>
            <w:tcW w:type="dxa" w:w="175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資訊安全</w:t>
            </w:r>
          </w:p>
        </w:tc>
        <w:tc>
          <w:tcPr>
            <w:tcW w:type="dxa" w:w="498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登入、操作、權限、備份、分享檢查、資安事件</w:t>
            </w:r>
          </w:p>
        </w:tc>
        <w:tc>
          <w:tcPr>
            <w:tcW w:type="dxa" w:w="277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敏感資料最小權限及可追溯</w:t>
            </w:r>
          </w:p>
        </w:tc>
      </w:tr>
    </w:tbl>
    <w:p>
      <w:pPr>
        <w:spacing w:after="20"/>
      </w:pP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附錄四｜緊急聯絡清冊（空白表）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c>
          <w:tcPr>
            <w:tcW w:type="dxa" w:w="9524"/>
            <w:shd w:fill="FFF4E5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color="D97706"/>
            </w:tcBorders>
          </w:tcPr>
          <w:p>
            <w:pPr>
              <w:spacing w:after="0"/>
            </w:pPr>
            <w:r>
              <w:rPr>
                <w:rFonts w:ascii="DFKai-SB" w:hAnsi="DFKai-SB" w:eastAsia="DFKai-SB" w:cs="DFKai-SB"/>
                <w:b/>
                <w:color w:val="D97706"/>
                <w:sz w:val="21"/>
              </w:rPr>
              <w:t xml:space="preserve">填寫提醒  </w:t>
            </w:r>
            <w:r>
              <w:rPr>
                <w:rFonts w:ascii="DFKai-SB" w:hAnsi="DFKai-SB" w:eastAsia="DFKai-SB" w:cs="DFKai-SB"/>
                <w:color w:val="243238"/>
                <w:sz w:val="20"/>
              </w:rPr>
              <w:t>聯絡電話、值班窗口與主管機關資訊應由機構依最新資料填寫並定期驗證。本手冊不預填未經確認的電話，避免緊急時誤撥。</w:t>
            </w:r>
          </w:p>
        </w:tc>
      </w:tr>
    </w:tbl>
    <w:p>
      <w:pPr>
        <w:spacing w:after="20"/>
      </w:pP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133"/>
        <w:gridCol w:w="2381"/>
        <w:gridCol w:w="2040"/>
        <w:gridCol w:w="1814"/>
        <w:gridCol w:w="2154"/>
      </w:tblGrid>
      <w:tr>
        <w:trPr>
          <w:tblHeader w:val="true"/>
        </w:trPr>
        <w:tc>
          <w:tcPr>
            <w:tcW w:type="dxa" w:w="113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類別</w:t>
            </w:r>
          </w:p>
        </w:tc>
        <w:tc>
          <w:tcPr>
            <w:tcW w:type="dxa" w:w="238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單位／姓名</w:t>
            </w:r>
          </w:p>
        </w:tc>
        <w:tc>
          <w:tcPr>
            <w:tcW w:type="dxa" w:w="204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職稱／關係</w:t>
            </w:r>
          </w:p>
        </w:tc>
        <w:tc>
          <w:tcPr>
            <w:tcW w:type="dxa" w:w="181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電話</w:t>
            </w:r>
          </w:p>
        </w:tc>
        <w:tc>
          <w:tcPr>
            <w:tcW w:type="dxa" w:w="215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備註／更新日</w:t>
            </w:r>
          </w:p>
        </w:tc>
      </w:tr>
      <w:tr>
        <w:trPr>
          <w:cantSplit/>
        </w:trPr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機構</w:t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機構負責人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  <w:tr>
        <w:trPr>
          <w:cantSplit/>
        </w:trPr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機構</w:t>
            </w:r>
          </w:p>
        </w:tc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業務負責人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  <w:tr>
        <w:trPr>
          <w:cantSplit/>
        </w:trPr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機構</w:t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居服督導員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  <w:tr>
        <w:trPr>
          <w:cantSplit/>
        </w:trPr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外部</w:t>
            </w:r>
          </w:p>
        </w:tc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消防／救護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119</w:t>
            </w:r>
          </w:p>
        </w:tc>
        <w:tc>
          <w:tcPr>
            <w:tcW w:type="dxa" w:w="215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緊急事件</w:t>
            </w:r>
          </w:p>
        </w:tc>
      </w:tr>
      <w:tr>
        <w:trPr>
          <w:cantSplit/>
        </w:trPr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外部</w:t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警察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110</w:t>
            </w:r>
          </w:p>
        </w:tc>
        <w:tc>
          <w:tcPr>
            <w:tcW w:type="dxa" w:w="215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人身安全</w:t>
            </w:r>
          </w:p>
        </w:tc>
      </w:tr>
      <w:tr>
        <w:trPr>
          <w:cantSplit/>
        </w:trPr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主管機關</w:t>
            </w:r>
          </w:p>
        </w:tc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承辦窗口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  <w:tr>
        <w:trPr>
          <w:cantSplit/>
        </w:trPr>
        <w:tc>
          <w:tcPr>
            <w:tcW w:type="dxa" w:w="113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合作醫療</w:t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窗口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  <w:tr>
        <w:trPr>
          <w:cantSplit/>
        </w:trPr>
        <w:tc>
          <w:tcPr>
            <w:tcW w:type="dxa" w:w="113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其他</w:t>
            </w:r>
          </w:p>
        </w:tc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04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  <w:tc>
          <w:tcPr>
            <w:tcW w:type="dxa" w:w="215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</w:r>
          </w:p>
        </w:tc>
      </w:tr>
    </w:tbl>
    <w:p>
      <w:pPr>
        <w:spacing w:after="20"/>
      </w:pP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附錄五｜員工閱讀與遵循確認</w:t>
      </w:r>
    </w:p>
    <w:p>
      <w:pPr>
        <w:spacing w:line="348" w:lineRule="auto"/>
      </w:pPr>
      <w:r>
        <w:rPr>
          <w:rFonts w:ascii="DFKai-SB" w:hAnsi="DFKai-SB" w:eastAsia="DFKai-SB" w:cs="DFKai-SB"/>
          <w:color w:val="243238"/>
          <w:sz w:val="22"/>
        </w:rPr>
        <w:t>本人確認已取得或可使用本工作手冊，並已閱讀與職務相關之制度、服務流程、個資保密、感染管制、緊急及異常事件、申訴、職業安全與工作倫理規範。如有疑問，將主動向主管確認；如發現風險或制度與實務不一致，將即時回報並配合改善。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1700"/>
        <w:gridCol w:w="1700"/>
        <w:gridCol w:w="2381"/>
        <w:gridCol w:w="1927"/>
      </w:tblGrid>
      <w:tr>
        <w:trPr>
          <w:tblHeader w:val="true"/>
        </w:trPr>
        <w:tc>
          <w:tcPr>
            <w:tcW w:type="dxa" w:w="181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員工姓名</w:t>
            </w:r>
          </w:p>
        </w:tc>
        <w:tc>
          <w:tcPr>
            <w:tcW w:type="dxa" w:w="170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員工編號</w:t>
            </w:r>
          </w:p>
        </w:tc>
        <w:tc>
          <w:tcPr>
            <w:tcW w:type="dxa" w:w="170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職稱</w:t>
            </w:r>
          </w:p>
        </w:tc>
        <w:tc>
          <w:tcPr>
            <w:tcW w:type="dxa" w:w="238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簽名</w:t>
            </w:r>
          </w:p>
        </w:tc>
        <w:tc>
          <w:tcPr>
            <w:tcW w:type="dxa" w:w="1928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9"/>
              </w:rPr>
              <w:t>日期</w:t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</w:tr>
      <w:tr>
        <w:trPr>
          <w:cantSplit/>
        </w:trPr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92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9"/>
              </w:rPr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  <w:tc>
          <w:tcPr>
            <w:tcW w:type="dxa" w:w="192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9"/>
              </w:rPr>
            </w:r>
          </w:p>
        </w:tc>
      </w:tr>
    </w:tbl>
    <w:p>
      <w:pPr>
        <w:spacing w:after="20"/>
      </w:pP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附錄六｜115 年度居家式評鑑基準對照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c>
          <w:tcPr>
            <w:tcW w:type="dxa" w:w="9524"/>
            <w:shd w:fill="FFF4E5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color="D97706"/>
            </w:tcBorders>
          </w:tcPr>
          <w:p>
            <w:pPr>
              <w:spacing w:after="0"/>
            </w:pPr>
            <w:r>
              <w:rPr>
                <w:rFonts w:ascii="DFKai-SB" w:hAnsi="DFKai-SB" w:eastAsia="DFKai-SB" w:cs="DFKai-SB"/>
                <w:b/>
                <w:color w:val="D97706"/>
                <w:sz w:val="21"/>
              </w:rPr>
              <w:t xml:space="preserve">評鑑架構  </w:t>
            </w:r>
            <w:r>
              <w:rPr>
                <w:rFonts w:ascii="DFKai-SB" w:hAnsi="DFKai-SB" w:eastAsia="DFKai-SB" w:cs="DFKai-SB"/>
                <w:color w:val="243238"/>
                <w:sz w:val="20"/>
              </w:rPr>
              <w:t>A 經營管理效能 11 項、44 分；B 專業照護品質 7 項、40 分；D 個案權益保障 4 項、16 分，合計 22 項、100 分。總分達 70 分以上為合格門檻；實際結果仍以主管機關評鑑認定為準。</w:t>
            </w:r>
          </w:p>
        </w:tc>
      </w:tr>
    </w:tbl>
    <w:p>
      <w:pPr>
        <w:spacing w:after="20"/>
      </w:pP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9524"/>
      </w:tblGrid>
      <w:tr>
        <w:tc>
          <w:tcPr>
            <w:tcW w:type="dxa" w:w="9524"/>
            <w:shd w:fill="E7F3F1"/>
            <w:tcMar>
              <w:top w:w="150" w:type="dxa"/>
              <w:start w:w="180" w:type="dxa"/>
              <w:bottom w:w="150" w:type="dxa"/>
              <w:end w:w="180" w:type="dxa"/>
            </w:tcMar>
            <w:tcBorders>
              <w:start w:val="single" w:sz="18" w:color="0F6B63"/>
            </w:tcBorders>
          </w:tcPr>
          <w:p>
            <w:pPr>
              <w:spacing w:after="0"/>
            </w:pPr>
            <w:r>
              <w:rPr>
                <w:rFonts w:ascii="DFKai-SB" w:hAnsi="DFKai-SB" w:eastAsia="DFKai-SB" w:cs="DFKai-SB"/>
                <w:b/>
                <w:color w:val="0F6B63"/>
                <w:sz w:val="21"/>
              </w:rPr>
              <w:t xml:space="preserve">準備邏輯  </w:t>
            </w:r>
            <w:r>
              <w:rPr>
                <w:rFonts w:ascii="DFKai-SB" w:hAnsi="DFKai-SB" w:eastAsia="DFKai-SB" w:cs="DFKai-SB"/>
                <w:color w:val="243238"/>
                <w:sz w:val="20"/>
              </w:rPr>
              <w:t>每一項均須能提出制度、執行、紀錄、檢討改善與追蹤；紙本、系統資料、工作人員回答及個案實際服務應相互一致。</w:t>
            </w:r>
          </w:p>
        </w:tc>
      </w:tr>
    </w:tbl>
    <w:p>
      <w:pPr>
        <w:spacing w:after="20"/>
      </w:pP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1700"/>
        <w:gridCol w:w="680"/>
        <w:gridCol w:w="3968"/>
        <w:gridCol w:w="2494"/>
      </w:tblGrid>
      <w:tr>
        <w:trPr>
          <w:tblHeader w:val="true"/>
        </w:trPr>
        <w:tc>
          <w:tcPr>
            <w:tcW w:type="dxa" w:w="680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5"/>
              </w:rPr>
              <w:t>項目</w:t>
            </w:r>
          </w:p>
        </w:tc>
        <w:tc>
          <w:tcPr>
            <w:tcW w:type="dxa" w:w="170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5"/>
              </w:rPr>
              <w:t>評鑑項目</w:t>
            </w:r>
          </w:p>
        </w:tc>
        <w:tc>
          <w:tcPr>
            <w:tcW w:type="dxa" w:w="680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5"/>
              </w:rPr>
              <w:t>配分</w:t>
            </w:r>
          </w:p>
        </w:tc>
        <w:tc>
          <w:tcPr>
            <w:tcW w:type="dxa" w:w="3969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5"/>
              </w:rPr>
              <w:t>基準說明</w:t>
            </w:r>
          </w:p>
        </w:tc>
        <w:tc>
          <w:tcPr>
            <w:tcW w:type="dxa" w:w="249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5"/>
              </w:rPr>
              <w:t>主要佐證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A1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業務計畫擬訂與執行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年度計畫有目標、內容、時程、責任與指標；定期檢視、成果分析及改善納入次年度。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年度計畫、進度與成果、會議、PDCA 改善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A2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工作手冊及行政管理規定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所有人員可使用完整工作手冊，涵蓋組織、職掌、個資、流程、緊急事件及感染管制；具版本修訂與熟悉度證明。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本手冊、職務說明、修訂對照、簽收與訪談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A3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督導制度運作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至少每三個月行政聯繫會議，並有個督、團督、決議、責任人、期限與後續追蹤。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會議、個督、團督、決議追蹤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A4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健全財務管理制度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附設機構帳務可獨立辨識，具原始憑證、報稅、銀行對帳、日記簿、現金簿、分類帳及三大財務報表。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會計制度、帳簿、憑證、報表、報稅與對帳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A5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查核、輔導及前次評鑑缺失改善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每項缺失均有原因、措施、負責人、期限、完成證明及成效追蹤。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公文、缺失清冊、改善計畫、完成證明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A6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工作人員權益制度及執行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聘任、薪資、福利、差勤、獎懲、申訴、勞健保、勞退、人身安全與職傷防治制度化並執行。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人事制度、投保、薪資、申訴、職安與獎勵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A7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人力設置情形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資格、登錄或支援報備完整；原則每六十位個案配置一名居督，並有代理及補實措施。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人員與個案名冊、登錄、排班、人力比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A8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長照人員定期健康檢查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新進服務前健檢、在職每年健檢，異常項目列冊、複檢、工作限制及後續追蹤。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健檢清冊、報告、到期提醒、異常追蹤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A9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新進工作人員職前訓練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到職一個月內至少十六小時；職安至少三小時、感染控制至少四小時，含緊急事件與實作，並有考核回饋。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計畫、課程、簽到、測驗、實作、補訓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A10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業務負責人實際參與管理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具資格、完成登錄、專任及投保；實際參與計畫、會議、督導、品質；每年至少四小時管理訓練並全程參與評鑑。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資格登錄、投保、會議督導、訓練、簡報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A11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居服員派案及排班機制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新案派案、調班、更換、暫停、代班及工時制度完整；有到班抽查、異常改善及追蹤。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制度、班表、打卡、抽查、異常處理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B1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強化長照人員專業知能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6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每年繼續教育、急救證明有效、新進三個月內取得；特殊與自立支援訓練有鼓勵、提醒及成效。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積分、課程、證書、到期提醒、成效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B2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服務對象評估與照顧計畫擬定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6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評估個案、照顧者、居家安全及資源；七個工作天內完成機構自己的問題、目標、服務頻率與追蹤計畫。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評估、照顧計畫、契約、完成時效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B3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依照顧計畫執行、品質查核及回饋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6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照顧計畫、排班、服務紀錄、打卡及需求一致；查核技術、態度、準時與改善。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排班打卡、服務紀錄、品質查核、回饋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B4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照顧計畫追蹤與評值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6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至少每三個月或需求改變時評值，分析目標未達原因並修正計畫與服務。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定期評值、原因分析、計畫修訂、追蹤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B5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主動轉介及跨專業服務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5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依需求主動轉介；每年至少四次跨專業個案討論且至少三種專業，具決議與追蹤。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轉介、跨專業會議、專業建議、追蹤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B6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開案及結案管理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6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開案、轉介、暫停、結案流程完整；居家服務原則每月電訪、每三個月家訪，內容具體且有處理追蹤。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流程、電訪家訪、暫停轉介結案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B7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意外或緊急事件處理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5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人員熟悉分級、處置、聯繫及通報；事件後有事實紀錄、原因分析、改善及成效追蹤。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流程、通報單、調查、改善與訪談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D1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與個案或家屬訂定服務契約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使用核備版本、適格簽約及騎縫章；權利義務、收費、申訴、隱私、異動、審閱期與爭議完整，異動有附約。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契約、代理關係、附約、服務一致性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D2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收費標準與開立收據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依核定收費，收據具姓名、月份、碼別、次數、日期、單位、總價、部分負擔及簽章，能與服務及入帳勾稽。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核定標準、收據、核銷、入帳與追蹤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D3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意見反映及申訴機制</w:t>
            </w:r>
          </w:p>
        </w:tc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多元管道、流程、時限、主管機關窗口、保密及不報復；每案有調查、回覆與追蹤，定期分析。</w:t>
            </w:r>
          </w:p>
        </w:tc>
        <w:tc>
          <w:tcPr>
            <w:tcW w:type="dxa" w:w="249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公告、申訴紀錄、回覆、統計與改善</w:t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5"/>
              </w:rPr>
              <w:t>D4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服務滿意度調查</w:t>
            </w:r>
          </w:p>
        </w:tc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4</w:t>
            </w:r>
          </w:p>
        </w:tc>
        <w:tc>
          <w:tcPr>
            <w:tcW w:type="dxa" w:w="3968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每年至少一次，涵蓋內容與態度；有樣本、統計、公開會議檢討、改善責任與追蹤。</w:t>
            </w:r>
          </w:p>
        </w:tc>
        <w:tc>
          <w:tcPr>
            <w:tcW w:type="dxa" w:w="249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5"/>
              </w:rPr>
              <w:t>問卷、回收、分析、會議、改善追蹤</w:t>
            </w:r>
          </w:p>
        </w:tc>
      </w:tr>
    </w:tbl>
    <w:p>
      <w:pPr>
        <w:spacing w:after="20"/>
      </w:pPr>
    </w:p>
    <w:p>
      <w:pPr>
        <w:pStyle w:val="Heading2"/>
        <w:keepNext/>
      </w:pPr>
      <w:r>
        <w:rPr>
          <w:rFonts w:ascii="DFKai-SB" w:hAnsi="DFKai-SB" w:eastAsia="DFKai-SB" w:cs="DFKai-SB"/>
        </w:rPr>
        <w:t>A2 工作手冊內容對照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2551"/>
        <w:gridCol w:w="4592"/>
      </w:tblGrid>
      <w:tr>
        <w:trPr>
          <w:tblHeader w:val="true"/>
        </w:trPr>
        <w:tc>
          <w:tcPr>
            <w:tcW w:type="dxa" w:w="238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A2 要求</w:t>
            </w:r>
          </w:p>
        </w:tc>
        <w:tc>
          <w:tcPr>
            <w:tcW w:type="dxa" w:w="255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手冊位置</w:t>
            </w:r>
          </w:p>
        </w:tc>
        <w:tc>
          <w:tcPr>
            <w:tcW w:type="dxa" w:w="4592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可提示之佐證</w:t>
            </w:r>
          </w:p>
        </w:tc>
      </w:tr>
      <w:tr>
        <w:trPr>
          <w:cantSplit/>
        </w:trPr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組織架構與職掌</w:t>
            </w:r>
          </w:p>
        </w:tc>
        <w:tc>
          <w:tcPr>
            <w:tcW w:type="dxa" w:w="255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第二章、附錄一</w:t>
            </w:r>
          </w:p>
        </w:tc>
        <w:tc>
          <w:tcPr>
            <w:tcW w:type="dxa" w:w="4592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組織圖、職務說明書、代理表</w:t>
            </w:r>
          </w:p>
        </w:tc>
      </w:tr>
      <w:tr>
        <w:trPr>
          <w:cantSplit/>
        </w:trPr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個資管理與保密</w:t>
            </w:r>
          </w:p>
        </w:tc>
        <w:tc>
          <w:tcPr>
            <w:tcW w:type="dxa" w:w="255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第五章 個資保密</w:t>
            </w:r>
          </w:p>
        </w:tc>
        <w:tc>
          <w:tcPr>
            <w:tcW w:type="dxa" w:w="4592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告知同意、保密承諾、權限及稽核</w:t>
            </w:r>
          </w:p>
        </w:tc>
      </w:tr>
      <w:tr>
        <w:trPr>
          <w:cantSplit/>
        </w:trPr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重要工作流程</w:t>
            </w:r>
          </w:p>
        </w:tc>
        <w:tc>
          <w:tcPr>
            <w:tcW w:type="dxa" w:w="255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第三至五章、附錄二</w:t>
            </w:r>
          </w:p>
        </w:tc>
        <w:tc>
          <w:tcPr>
            <w:tcW w:type="dxa" w:w="4592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接案、排班、打卡、紀錄、通報流程</w:t>
            </w:r>
          </w:p>
        </w:tc>
      </w:tr>
      <w:tr>
        <w:trPr>
          <w:cantSplit/>
        </w:trPr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緊急或意外事件</w:t>
            </w:r>
          </w:p>
        </w:tc>
        <w:tc>
          <w:tcPr>
            <w:tcW w:type="dxa" w:w="255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第五章 緊急事件、異常事件</w:t>
            </w:r>
          </w:p>
        </w:tc>
        <w:tc>
          <w:tcPr>
            <w:tcW w:type="dxa" w:w="4592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流程、通報單、原因分析與改善</w:t>
            </w:r>
          </w:p>
        </w:tc>
      </w:tr>
      <w:tr>
        <w:trPr>
          <w:cantSplit/>
        </w:trPr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求助及通報窗口</w:t>
            </w:r>
          </w:p>
        </w:tc>
        <w:tc>
          <w:tcPr>
            <w:tcW w:type="dxa" w:w="255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附錄四</w:t>
            </w:r>
          </w:p>
        </w:tc>
        <w:tc>
          <w:tcPr>
            <w:tcW w:type="dxa" w:w="4592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經確認的聯絡清冊與更新日期</w:t>
            </w:r>
          </w:p>
        </w:tc>
      </w:tr>
      <w:tr>
        <w:trPr>
          <w:cantSplit/>
        </w:trPr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感染控制</w:t>
            </w:r>
          </w:p>
        </w:tc>
        <w:tc>
          <w:tcPr>
            <w:tcW w:type="dxa" w:w="255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第五章 感染管制</w:t>
            </w:r>
          </w:p>
        </w:tc>
        <w:tc>
          <w:tcPr>
            <w:tcW w:type="dxa" w:w="4592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政策、教育、防護用品、查核及事件</w:t>
            </w:r>
          </w:p>
        </w:tc>
      </w:tr>
      <w:tr>
        <w:trPr>
          <w:cantSplit/>
        </w:trPr>
        <w:tc>
          <w:tcPr>
            <w:tcW w:type="dxa" w:w="238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版本與定期修訂</w:t>
            </w:r>
          </w:p>
        </w:tc>
        <w:tc>
          <w:tcPr>
            <w:tcW w:type="dxa" w:w="2551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第七章、文件管制</w:t>
            </w:r>
          </w:p>
        </w:tc>
        <w:tc>
          <w:tcPr>
            <w:tcW w:type="dxa" w:w="4592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修訂對照、公告、簽收與舊版封存</w:t>
            </w:r>
          </w:p>
        </w:tc>
      </w:tr>
      <w:tr>
        <w:trPr>
          <w:cantSplit/>
        </w:trPr>
        <w:tc>
          <w:tcPr>
            <w:tcW w:type="dxa" w:w="238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員工熟悉與執行</w:t>
            </w:r>
          </w:p>
        </w:tc>
        <w:tc>
          <w:tcPr>
            <w:tcW w:type="dxa" w:w="2551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各章、附錄五</w:t>
            </w:r>
          </w:p>
        </w:tc>
        <w:tc>
          <w:tcPr>
            <w:tcW w:type="dxa" w:w="4592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教育、簽收、抽訪、督導與查核</w:t>
            </w:r>
          </w:p>
        </w:tc>
      </w:tr>
    </w:tbl>
    <w:p>
      <w:pPr>
        <w:spacing w:after="20"/>
      </w:pP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附錄七｜評鑑四層盤點表（空白）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680"/>
        <w:gridCol w:w="963"/>
        <w:gridCol w:w="963"/>
        <w:gridCol w:w="963"/>
        <w:gridCol w:w="2437"/>
        <w:gridCol w:w="1700"/>
        <w:gridCol w:w="1814"/>
      </w:tblGrid>
      <w:tr>
        <w:trPr>
          <w:tblHeader w:val="true"/>
        </w:trPr>
        <w:tc>
          <w:tcPr>
            <w:tcW w:type="dxa" w:w="680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項目</w:t>
            </w:r>
          </w:p>
        </w:tc>
        <w:tc>
          <w:tcPr>
            <w:tcW w:type="dxa" w:w="96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制度</w:t>
            </w:r>
          </w:p>
        </w:tc>
        <w:tc>
          <w:tcPr>
            <w:tcW w:type="dxa" w:w="96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執行</w:t>
            </w:r>
          </w:p>
        </w:tc>
        <w:tc>
          <w:tcPr>
            <w:tcW w:type="dxa" w:w="96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紀錄</w:t>
            </w:r>
          </w:p>
        </w:tc>
        <w:tc>
          <w:tcPr>
            <w:tcW w:type="dxa" w:w="2438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檢討改善追蹤</w:t>
            </w:r>
          </w:p>
        </w:tc>
        <w:tc>
          <w:tcPr>
            <w:tcW w:type="dxa" w:w="1701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負責人</w:t>
            </w:r>
          </w:p>
        </w:tc>
        <w:tc>
          <w:tcPr>
            <w:tcW w:type="dxa" w:w="181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6"/>
              </w:rPr>
              <w:t>下次檢查日</w:t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A1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A2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A3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A4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A5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A6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A7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A8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A9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A10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A11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B1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B2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B3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B4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B5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B6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B7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D1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D2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D3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  <w:tr>
        <w:trPr>
          <w:cantSplit/>
        </w:trPr>
        <w:tc>
          <w:tcPr>
            <w:tcW w:type="dxa" w:w="68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6"/>
              </w:rPr>
              <w:t>D4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963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2437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  <w:t>□</w:t>
            </w:r>
          </w:p>
        </w:tc>
        <w:tc>
          <w:tcPr>
            <w:tcW w:type="dxa" w:w="1700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6"/>
              </w:rPr>
            </w:r>
          </w:p>
        </w:tc>
      </w:tr>
    </w:tbl>
    <w:p>
      <w:pPr>
        <w:spacing w:after="20"/>
      </w:pPr>
    </w:p>
    <w:p>
      <w:r>
        <w:rPr>
          <w:rFonts w:ascii="DFKai-SB" w:hAnsi="DFKai-SB" w:eastAsia="DFKai-SB" w:cs="DFKai-SB"/>
        </w:rPr>
        <w:br w:type="page"/>
      </w:r>
    </w:p>
    <w:p>
      <w:pPr>
        <w:pStyle w:val="Heading1"/>
        <w:keepNext/>
      </w:pPr>
      <w:r>
        <w:rPr>
          <w:rFonts w:ascii="DFKai-SB" w:hAnsi="DFKai-SB" w:eastAsia="DFKai-SB" w:cs="DFKai-SB"/>
        </w:rPr>
        <w:t>附錄八｜工作手冊年度檢核表</w:t>
      </w:r>
    </w:p>
    <w:tbl>
      <w:tblPr>
        <w:tblW w:type="dxa" w:w="9524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5896"/>
        <w:gridCol w:w="1814"/>
      </w:tblGrid>
      <w:tr>
        <w:trPr>
          <w:tblHeader w:val="true"/>
        </w:trPr>
        <w:tc>
          <w:tcPr>
            <w:tcW w:type="dxa" w:w="181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檢核面向</w:t>
            </w:r>
          </w:p>
        </w:tc>
        <w:tc>
          <w:tcPr>
            <w:tcW w:type="dxa" w:w="5896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檢核內容</w:t>
            </w:r>
          </w:p>
        </w:tc>
        <w:tc>
          <w:tcPr>
            <w:tcW w:type="dxa" w:w="1814"/>
            <w:shd w:fill="203B43"/>
            <w:tcMar>
              <w:top w:w="110" w:type="dxa"/>
              <w:start w:w="110" w:type="dxa"/>
              <w:bottom w:w="110" w:type="dxa"/>
              <w:end w:w="11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FKai-SB" w:hAnsi="DFKai-SB" w:eastAsia="DFKai-SB" w:cs="DFKai-SB"/>
                <w:b/>
                <w:color w:val="FFFFFF"/>
                <w:sz w:val="18"/>
              </w:rPr>
              <w:t>結果</w:t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法令與主管機關</w:t>
            </w:r>
          </w:p>
        </w:tc>
        <w:tc>
          <w:tcPr>
            <w:tcW w:type="dxa" w:w="58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現行內容是否符合最新法令、函釋、契約及評鑑基準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  <w:tr>
        <w:trPr>
          <w:cantSplit/>
        </w:trPr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組織與人力</w:t>
            </w:r>
          </w:p>
        </w:tc>
        <w:tc>
          <w:tcPr>
            <w:tcW w:type="dxa" w:w="58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組織圖、職掌、資格、代理及聯絡清冊是否現行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流程與系統</w:t>
            </w:r>
          </w:p>
        </w:tc>
        <w:tc>
          <w:tcPr>
            <w:tcW w:type="dxa" w:w="58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紙本制度是否與實際系統、表單、排班及權限一致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  <w:tr>
        <w:trPr>
          <w:cantSplit/>
        </w:trPr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事件與申訴</w:t>
            </w:r>
          </w:p>
        </w:tc>
        <w:tc>
          <w:tcPr>
            <w:tcW w:type="dxa" w:w="58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年度事件、申訴、查核及缺失是否已反映於制度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紀錄與備份</w:t>
            </w:r>
          </w:p>
        </w:tc>
        <w:tc>
          <w:tcPr>
            <w:tcW w:type="dxa" w:w="58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必要紀錄是否完整、可查詢、可匯出並具備備援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  <w:tr>
        <w:trPr>
          <w:cantSplit/>
        </w:trPr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員工熟悉度</w:t>
            </w:r>
          </w:p>
        </w:tc>
        <w:tc>
          <w:tcPr>
            <w:tcW w:type="dxa" w:w="5896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抽訪人員能否說明與其職務相關至少三項具體做法</w:t>
            </w:r>
          </w:p>
        </w:tc>
        <w:tc>
          <w:tcPr>
            <w:tcW w:type="dxa" w:w="1814"/>
            <w:shd w:fill="F6F9F8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□補訓</w:t>
            </w:r>
          </w:p>
        </w:tc>
      </w:tr>
      <w:tr>
        <w:trPr>
          <w:cantSplit/>
        </w:trPr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center"/>
            </w:pPr>
            <w:r>
              <w:rPr>
                <w:rFonts w:ascii="DFKai-SB" w:hAnsi="DFKai-SB" w:eastAsia="DFKai-SB" w:cs="DFKai-SB"/>
                <w:b/>
                <w:color w:val="243238"/>
                <w:sz w:val="18"/>
              </w:rPr>
              <w:t>版本控制</w:t>
            </w:r>
          </w:p>
        </w:tc>
        <w:tc>
          <w:tcPr>
            <w:tcW w:type="dxa" w:w="5896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現行版、舊版封存、公告、簽收與修訂對照是否完整</w:t>
            </w:r>
          </w:p>
        </w:tc>
        <w:tc>
          <w:tcPr>
            <w:tcW w:type="dxa" w:w="1814"/>
            <w:tcMar>
              <w:top w:w="95" w:type="dxa"/>
              <w:start w:w="110" w:type="dxa"/>
              <w:bottom w:w="95" w:type="dxa"/>
              <w:end w:w="110" w:type="dxa"/>
            </w:tcMar>
            <w:vAlign w:val="center"/>
          </w:tcPr>
          <w:p>
            <w:pPr>
              <w:spacing w:after="0" w:line="259" w:lineRule="auto"/>
              <w:jc w:val="left"/>
            </w:pPr>
            <w:r>
              <w:rPr>
                <w:rFonts w:ascii="DFKai-SB" w:hAnsi="DFKai-SB" w:eastAsia="DFKai-SB" w:cs="DFKai-SB"/>
                <w:b w:val="0"/>
                <w:color w:val="243238"/>
                <w:sz w:val="18"/>
              </w:rPr>
              <w:t>□符合 □修訂</w:t>
            </w:r>
          </w:p>
        </w:tc>
      </w:tr>
    </w:tbl>
    <w:p>
      <w:pPr>
        <w:spacing w:after="20"/>
      </w:pPr>
    </w:p>
    <w:p>
      <w:pPr>
        <w:spacing w:before="360"/>
      </w:pPr>
      <w:r>
        <w:rPr>
          <w:rFonts w:ascii="DFKai-SB" w:hAnsi="DFKai-SB" w:eastAsia="DFKai-SB" w:cs="DFKai-SB"/>
          <w:color w:val="243238"/>
          <w:sz w:val="21"/>
        </w:rPr>
        <w:t>檢核日期：________________    檢核人：________________    核准：________________</w:t>
      </w:r>
    </w:p>
    <w:sectPr w:rsidR="00FC693F" w:rsidRPr="0006063C" w:rsidSect="00034616">
      <w:headerReference w:type="default" r:id="rId9"/>
      <w:footerReference w:type="default" r:id="rId10"/>
      <w:headerReference w:type="first" r:id="rId11"/>
      <w:headerReference w:type="even" r:id="rId12"/>
      <w:footerReference w:type="first" r:id="rId13"/>
      <w:footerReference w:type="even" r:id="rId14"/>
      <w:pgSz w:w="11906" w:h="16838"/>
      <w:pgMar w:top="964" w:right="1191" w:bottom="907" w:left="1191" w:header="425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/>
      <w:jc w:val="center"/>
    </w:pPr>
    <w:r>
      <w:rPr>
        <w:rFonts w:ascii="DFKai-SB" w:hAnsi="DFKai-SB" w:eastAsia="DFKai-SB" w:cs="DFKai-SB"/>
        <w:color w:val="647277"/>
        <w:sz w:val="16"/>
      </w:rPr>
      <w:t xml:space="preserve">版本 1.0  |  生效日 2026-08-13  |  第 </w:t>
    </w:r>
    <w:r>
      <w:rPr>
        <w:rFonts w:ascii="DFKai-SB" w:hAnsi="DFKai-SB" w:eastAsia="DFKai-SB" w:cs="DFKai-SB"/>
        <w:color w:val="647277"/>
        <w:sz w:val="16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DFKai-SB" w:hAnsi="DFKai-SB" w:eastAsia="DFKai-SB" w:cs="DFKai-SB"/>
        <w:color w:val="647277"/>
        <w:sz w:val="16"/>
      </w:rPr>
      <w:t xml:space="preserve"> 頁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40"/>
      <w:jc w:val="left"/>
      <w:pBdr>
        <w:bottom w:val="single" w:sz="6" w:color="CBD8D5"/>
      </w:pBdr>
    </w:pPr>
    <w:r>
      <w:rPr>
        <w:rFonts w:ascii="DFKai-SB" w:hAnsi="DFKai-SB" w:eastAsia="DFKai-SB" w:cs="DFKai-SB"/>
        <w:b/>
        <w:color w:val="647277"/>
        <w:sz w:val="16"/>
      </w:rPr>
      <w:t>暖暖有限公司附設彰化縣私立暖暖居家長照機構  |  居家長照工作手冊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header3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DFKai-SB" w:hAnsi="DFKai-SB" w:eastAsia="DFKai-SB" w:cs="DFKai-SB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98" w:lineRule="auto"/>
    </w:pPr>
    <w:rPr>
      <w:rFonts w:ascii="DFKai-SB" w:hAnsi="DFKai-SB" w:eastAsia="DFKai-SB" w:cs="DFKai-SB"/>
      <w:color w:val="243238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80"/>
      <w:outlineLvl w:val="0"/>
    </w:pPr>
    <w:rPr>
      <w:rFonts w:ascii="DFKai-SB" w:hAnsi="DFKai-SB" w:eastAsia="DFKai-SB" w:cs="DFKai-SB"/>
      <w:b/>
      <w:bCs/>
      <w:color w:val="203B43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60" w:after="120"/>
      <w:outlineLvl w:val="1"/>
    </w:pPr>
    <w:rPr>
      <w:rFonts w:ascii="DFKai-SB" w:hAnsi="DFKai-SB" w:eastAsia="DFKai-SB" w:cs="DFKai-SB"/>
      <w:b/>
      <w:bCs/>
      <w:color w:val="0F6B63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80" w:after="80"/>
      <w:outlineLvl w:val="2"/>
    </w:pPr>
    <w:rPr>
      <w:rFonts w:ascii="DFKai-SB" w:hAnsi="DFKai-SB" w:eastAsia="DFKai-SB" w:cs="DFKai-SB"/>
      <w:b/>
      <w:bCs/>
      <w:color w:val="D97706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="DFKai-SB" w:hAnsi="DFKai-SB" w:eastAsia="DFKai-SB" w:cs="DFKai-SB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="DFKai-SB" w:hAnsi="DFKai-SB" w:eastAsia="DFKai-SB" w:cs="DFKai-SB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="DFKai-SB" w:hAnsi="DFKai-SB" w:eastAsia="DFKai-SB" w:cs="DFKai-SB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="DFKai-SB" w:hAnsi="DFKai-SB" w:eastAsia="DFKai-SB" w:cs="DFKai-SB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="DFKai-SB" w:hAnsi="DFKai-SB" w:eastAsia="DFKai-SB" w:cs="DFKai-SB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="DFKai-SB" w:hAnsi="DFKai-SB" w:eastAsia="DFKai-SB" w:cs="DFKai-SB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="DFKai-SB" w:hAnsi="DFKai-SB" w:eastAsia="DFKai-SB" w:cs="DFKai-SB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="DFKai-SB" w:hAnsi="DFKai-SB" w:eastAsia="DFKai-SB" w:cs="DFKai-SB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="DFKai-SB" w:hAnsi="DFKai-SB" w:eastAsia="DFKai-SB" w:cs="DFKai-SB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DFKai-SB" w:hAnsi="DFKai-SB" w:eastAsia="DFKai-SB" w:cs="DFKai-SB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="DFKai-SB" w:hAnsi="DFKai-SB" w:eastAsia="DFKai-SB" w:cs="DFKai-SB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="DFKai-SB" w:hAnsi="DFKai-SB" w:eastAsia="DFKai-SB" w:cs="DFKai-SB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="DFKai-SB" w:hAnsi="DFKai-SB" w:eastAsia="DFKai-SB" w:cs="DFKai-SB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rFonts w:ascii="DFKai-SB" w:hAnsi="DFKai-SB" w:eastAsia="DFKai-SB" w:cs="DFKai-SB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rFonts w:ascii="DFKai-SB" w:hAnsi="DFKai-SB" w:eastAsia="DFKai-SB" w:cs="DFKai-SB"/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50" w:line="288" w:lineRule="auto"/>
      <w:contextualSpacing/>
    </w:pPr>
    <w:rPr>
      <w:rFonts w:ascii="DFKai-SB" w:hAnsi="DFKai-SB" w:eastAsia="DFKai-SB" w:cs="DFKai-SB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spacing w:after="50" w:line="288" w:lineRule="auto"/>
      <w:contextualSpacing/>
    </w:pPr>
    <w:rPr>
      <w:rFonts w:ascii="DFKai-SB" w:hAnsi="DFKai-SB" w:eastAsia="DFKai-SB" w:cs="DFKai-SB"/>
      <w:sz w:val="20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50" w:line="288" w:lineRule="auto"/>
      <w:contextualSpacing/>
    </w:pPr>
    <w:rPr>
      <w:rFonts w:ascii="DFKai-SB" w:hAnsi="DFKai-SB" w:eastAsia="DFKai-SB" w:cs="DFKai-SB"/>
      <w:sz w:val="20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spacing w:after="50" w:line="288" w:lineRule="auto"/>
      <w:contextualSpacing/>
    </w:pPr>
    <w:rPr>
      <w:rFonts w:ascii="DFKai-SB" w:hAnsi="DFKai-SB" w:eastAsia="DFKai-SB" w:cs="DFKai-SB"/>
      <w:sz w:val="20"/>
    </w:r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DFKai-SB" w:hAnsi="DFKai-SB" w:eastAsia="DFKai-SB" w:cs="DFKai-SB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DFKai-SB" w:hAnsi="DFKai-SB" w:eastAsia="DFKai-SB" w:cs="DFKai-SB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rFonts w:ascii="DFKai-SB" w:hAnsi="DFKai-SB" w:eastAsia="DFKai-SB" w:cs="DFKai-SB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rFonts w:ascii="DFKai-SB" w:hAnsi="DFKai-SB" w:eastAsia="DFKai-SB" w:cs="DFKai-SB"/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="DFKai-SB" w:hAnsi="DFKai-SB" w:eastAsia="DFKai-SB" w:cs="DFKai-SB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="DFKai-SB" w:hAnsi="DFKai-SB" w:eastAsia="DFKai-SB" w:cs="DFKai-SB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="DFKai-SB" w:hAnsi="DFKai-SB" w:eastAsia="DFKai-SB" w:cs="DFKai-SB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="DFKai-SB" w:hAnsi="DFKai-SB" w:eastAsia="DFKai-SB" w:cs="DFKai-SB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="DFKai-SB" w:hAnsi="DFKai-SB" w:eastAsia="DFKai-SB" w:cs="DFKai-SB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="DFKai-SB" w:hAnsi="DFKai-SB" w:eastAsia="DFKai-SB" w:cs="DFKai-SB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rFonts w:ascii="DFKai-SB" w:hAnsi="DFKai-SB" w:eastAsia="DFKai-SB" w:cs="DFKai-SB"/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rFonts w:ascii="DFKai-SB" w:hAnsi="DFKai-SB" w:eastAsia="DFKai-SB" w:cs="DFKai-SB"/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rFonts w:ascii="DFKai-SB" w:hAnsi="DFKai-SB" w:eastAsia="DFKai-SB" w:cs="DFKai-SB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="DFKai-SB" w:hAnsi="DFKai-SB" w:eastAsia="DFKai-SB" w:cs="DFKai-SB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rFonts w:ascii="DFKai-SB" w:hAnsi="DFKai-SB" w:eastAsia="DFKai-SB" w:cs="DFKai-SB"/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rFonts w:ascii="DFKai-SB" w:hAnsi="DFKai-SB" w:eastAsia="DFKai-SB" w:cs="DFKai-SB"/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rFonts w:ascii="DFKai-SB" w:hAnsi="DFKai-SB" w:eastAsia="DFKai-SB" w:cs="DFKai-SB"/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rFonts w:ascii="DFKai-SB" w:hAnsi="DFKai-SB" w:eastAsia="DFKai-SB" w:cs="DFKai-SB"/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rFonts w:ascii="DFKai-SB" w:hAnsi="DFKai-SB" w:eastAsia="DFKai-SB" w:cs="DFKai-SB"/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rFonts w:ascii="DFKai-SB" w:hAnsi="DFKai-SB" w:eastAsia="DFKai-SB" w:cs="DFKai-SB"/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rFonts w:ascii="DFKai-SB" w:hAnsi="DFKai-SB" w:eastAsia="DFKai-SB" w:cs="DFKai-SB"/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rFonts w:ascii="DFKai-SB" w:hAnsi="DFKai-SB" w:eastAsia="DFKai-SB" w:cs="DFKai-SB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ascii="DFKai-SB" w:hAnsi="DFKai-SB" w:eastAsia="DFKai-SB" w:cs="DFKai-SB"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rFonts w:ascii="DFKai-SB" w:hAnsi="DFKai-SB" w:eastAsia="DFKai-SB" w:cs="DFKai-SB"/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DFKai-SB" w:hAnsi="DFKai-SB" w:eastAsia="DFKai-SB" w:cs="DFKai-SB"/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DFKai-SB" w:hAnsi="DFKai-SB" w:eastAsia="DFKai-SB" w:cs="DFKai-SB"/>
        <w:b/>
        <w:bCs/>
      </w:rPr>
    </w:tblStylePr>
    <w:tblStylePr w:type="lastRow">
      <w:rPr>
        <w:rFonts w:ascii="DFKai-SB" w:hAnsi="DFKai-SB" w:eastAsia="DFKai-SB" w:cs="DFKai-SB"/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ascii="DFKai-SB" w:hAnsi="DFKai-SB" w:eastAsia="DFKai-SB" w:cs="DFKai-SB"/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rFonts w:ascii="DFKai-SB" w:hAnsi="DFKai-SB" w:eastAsia="DFKai-SB" w:cs="DFKai-SB"/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rFonts w:ascii="DFKai-SB" w:hAnsi="DFKai-SB" w:eastAsia="DFKai-SB" w:cs="DFKai-SB"/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DFKai-SB" w:hAnsi="DFKai-SB" w:eastAsia="DFKai-SB" w:cs="DFKai-SB"/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rFonts w:ascii="DFKai-SB" w:hAnsi="DFKai-SB" w:eastAsia="DFKai-SB" w:cs="DFKai-SB"/>
        <w:color w:val="000000" w:themeColor="text1"/>
      </w:rPr>
    </w:tblStylePr>
    <w:tblStylePr w:type="nwCell">
      <w:rPr>
        <w:rFonts w:ascii="DFKai-SB" w:hAnsi="DFKai-SB" w:eastAsia="DFKai-SB" w:cs="DFKai-SB"/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DFKai-SB" w:hAnsi="DFKai-SB" w:eastAsia="DFKai-SB" w:cs="DFKai-SB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DFKai-SB" w:hAnsi="DFKai-SB" w:eastAsia="DFKai-SB" w:cs="DFKai-SB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rFonts w:ascii="DFKai-SB" w:hAnsi="DFKai-SB" w:eastAsia="DFKai-SB" w:cs="DFKai-SB"/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rFonts w:ascii="DFKai-SB" w:hAnsi="DFKai-SB" w:eastAsia="DFKai-SB" w:cs="DFKai-SB"/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rFonts w:ascii="DFKai-SB" w:hAnsi="DFKai-SB" w:eastAsia="DFKai-SB" w:cs="DFKai-SB"/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rFonts w:ascii="DFKai-SB" w:hAnsi="DFKai-SB" w:eastAsia="DFKai-SB" w:cs="DFKai-SB"/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rFonts w:ascii="DFKai-SB" w:hAnsi="DFKai-SB" w:eastAsia="DFKai-SB" w:cs="DFKai-SB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rFonts w:ascii="DFKai-SB" w:hAnsi="DFKai-SB" w:eastAsia="DFKai-SB" w:cs="DFKai-SB"/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rFonts w:ascii="DFKai-SB" w:hAnsi="DFKai-SB" w:eastAsia="DFKai-SB" w:cs="DFKai-SB"/>
        <w:b/>
        <w:bCs/>
      </w:rPr>
    </w:tblStylePr>
    <w:tblStylePr w:type="lastCol">
      <w:rPr>
        <w:rFonts w:ascii="DFKai-SB" w:hAnsi="DFKai-SB" w:eastAsia="DFKai-SB" w:cs="DFKai-SB"/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rFonts w:ascii="DFKai-SB" w:hAnsi="DFKai-SB" w:eastAsia="DFKai-SB" w:cs="DFKai-SB"/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rFonts w:ascii="DFKai-SB" w:hAnsi="DFKai-SB" w:eastAsia="DFKai-SB" w:cs="DFKai-SB"/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rFonts w:ascii="DFKai-SB" w:hAnsi="DFKai-SB" w:eastAsia="DFKai-SB" w:cs="DFKai-SB"/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rFonts w:ascii="DFKai-SB" w:hAnsi="DFKai-SB" w:eastAsia="DFKai-SB" w:cs="DFKai-SB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rFonts w:ascii="DFKai-SB" w:hAnsi="DFKai-SB" w:eastAsia="DFKai-SB" w:cs="DFKai-SB"/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eader" Target="header2.xml"/><Relationship Id="rId12" Type="http://schemas.openxmlformats.org/officeDocument/2006/relationships/header" Target="header3.xml"/><Relationship Id="rId13" Type="http://schemas.openxmlformats.org/officeDocument/2006/relationships/footer" Target="foot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居家長照工作手冊</dc:title>
  <dc:subject>居家長照工作規範與 115 年度評鑑 A2 對照</dc:subject>
  <dc:creator>暖暖有限公司附設彰化縣私立暖暖居家長照機構</dc:creator>
  <cp:keywords>居家長照, 工作手冊, 評鑑, 彰化縣, A2</cp:keywords>
  <dc:description>版本 1.0，生效日 2026-08-13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